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501BA3" w:rsidRPr="00501BA3" w:rsidRDefault="00501BA3" w:rsidP="00501BA3">
      <w:pPr>
        <w:spacing w:after="20" w:line="206" w:lineRule="exact"/>
        <w:ind w:firstLine="288"/>
        <w:jc w:val="both"/>
        <w:rPr>
          <w:rFonts w:ascii="Arial" w:eastAsia="Times New Roman" w:hAnsi="Arial" w:cs="Arial"/>
          <w:sz w:val="18"/>
          <w:szCs w:val="24"/>
          <w:lang w:val="es-ES" w:eastAsia="es-ES"/>
        </w:rPr>
      </w:pPr>
      <w:r w:rsidRPr="00501BA3">
        <w:rPr>
          <w:rFonts w:ascii="Arial" w:eastAsia="Times New Roman" w:hAnsi="Arial" w:cs="Arial"/>
          <w:b/>
          <w:sz w:val="18"/>
          <w:szCs w:val="24"/>
          <w:lang w:val="es-ES" w:eastAsia="es-ES"/>
        </w:rPr>
        <w:t>Artículo 73.-</w:t>
      </w:r>
      <w:r w:rsidRPr="00501BA3">
        <w:rPr>
          <w:rFonts w:ascii="Arial" w:eastAsia="Times New Roman" w:hAnsi="Arial" w:cs="Arial"/>
          <w:sz w:val="18"/>
          <w:szCs w:val="24"/>
          <w:lang w:val="es-ES" w:eastAsia="es-ES"/>
        </w:rPr>
        <w:t xml:space="preserve"> El documento suscrito por el titular del Área responsable de la ejecución de los trabajos señalado en el segundo párrafo del artículo 41 de la Ley, que se someta a consideración del Comité o cuando no exista éste, del titular de la dependencia o entidad o, en su caso, del Oficial Mayor o equivalente, deberá contener como mínimo la información que a continuación se indica en el orden siguiente:</w:t>
      </w:r>
    </w:p>
    <w:p w:rsidR="00501BA3" w:rsidRPr="00501BA3" w:rsidRDefault="00501BA3" w:rsidP="00501BA3">
      <w:pPr>
        <w:spacing w:after="20" w:line="206" w:lineRule="exact"/>
        <w:ind w:left="864" w:hanging="576"/>
        <w:jc w:val="both"/>
        <w:rPr>
          <w:rFonts w:ascii="Arial" w:eastAsia="Times New Roman" w:hAnsi="Arial" w:cs="Arial"/>
          <w:sz w:val="18"/>
          <w:szCs w:val="20"/>
          <w:lang w:val="es-ES" w:eastAsia="es-ES"/>
        </w:rPr>
      </w:pPr>
      <w:r w:rsidRPr="00501BA3">
        <w:rPr>
          <w:rFonts w:ascii="Arial" w:eastAsia="Times New Roman" w:hAnsi="Arial" w:cs="Arial"/>
          <w:b/>
          <w:sz w:val="18"/>
          <w:szCs w:val="20"/>
          <w:lang w:val="es-ES" w:eastAsia="es-ES"/>
        </w:rPr>
        <w:t>I.</w:t>
      </w:r>
      <w:r w:rsidRPr="00501BA3">
        <w:rPr>
          <w:rFonts w:ascii="Arial" w:eastAsia="Times New Roman" w:hAnsi="Arial" w:cs="Arial"/>
          <w:b/>
          <w:sz w:val="18"/>
          <w:szCs w:val="20"/>
          <w:lang w:val="es-ES" w:eastAsia="es-ES"/>
        </w:rPr>
        <w:tab/>
      </w:r>
      <w:r w:rsidRPr="00501BA3">
        <w:rPr>
          <w:rFonts w:ascii="Arial" w:eastAsia="Times New Roman" w:hAnsi="Arial" w:cs="Arial"/>
          <w:sz w:val="18"/>
          <w:szCs w:val="20"/>
          <w:lang w:val="es-ES" w:eastAsia="es-ES"/>
        </w:rPr>
        <w:t>La descripción de las obras o servicios que se pretendan contratar, las especificaciones o datos técnicos de los mismos, así como la información considerada conveniente por el Área requirente o el Área técnica, para explicar el alcance y objeto de la contratación;</w:t>
      </w:r>
    </w:p>
    <w:p w:rsidR="00501BA3" w:rsidRPr="00501BA3" w:rsidRDefault="00501BA3" w:rsidP="00501BA3">
      <w:pPr>
        <w:spacing w:after="20" w:line="206" w:lineRule="exact"/>
        <w:ind w:left="864" w:hanging="576"/>
        <w:jc w:val="both"/>
        <w:rPr>
          <w:rFonts w:ascii="Arial" w:eastAsia="Times New Roman" w:hAnsi="Arial" w:cs="Arial"/>
          <w:sz w:val="18"/>
          <w:szCs w:val="20"/>
          <w:lang w:val="es-ES" w:eastAsia="es-ES"/>
        </w:rPr>
      </w:pPr>
      <w:r w:rsidRPr="00501BA3">
        <w:rPr>
          <w:rFonts w:ascii="Arial" w:eastAsia="Times New Roman" w:hAnsi="Arial" w:cs="Arial"/>
          <w:b/>
          <w:sz w:val="18"/>
          <w:szCs w:val="20"/>
          <w:lang w:val="es-ES" w:eastAsia="es-ES"/>
        </w:rPr>
        <w:t>II.</w:t>
      </w:r>
      <w:r w:rsidRPr="00501BA3">
        <w:rPr>
          <w:rFonts w:ascii="Arial" w:eastAsia="Times New Roman" w:hAnsi="Arial" w:cs="Arial"/>
          <w:b/>
          <w:sz w:val="18"/>
          <w:szCs w:val="20"/>
          <w:lang w:val="es-ES" w:eastAsia="es-ES"/>
        </w:rPr>
        <w:tab/>
      </w:r>
      <w:r w:rsidRPr="00501BA3">
        <w:rPr>
          <w:rFonts w:ascii="Arial" w:eastAsia="Times New Roman" w:hAnsi="Arial" w:cs="Arial"/>
          <w:sz w:val="18"/>
          <w:szCs w:val="20"/>
          <w:lang w:val="es-ES" w:eastAsia="es-ES"/>
        </w:rPr>
        <w:t>Los plazos para la ejecución de las obras o servicios;</w:t>
      </w:r>
    </w:p>
    <w:p w:rsidR="00501BA3" w:rsidRPr="00501BA3" w:rsidRDefault="00501BA3" w:rsidP="00501BA3">
      <w:pPr>
        <w:spacing w:after="20" w:line="206" w:lineRule="exact"/>
        <w:ind w:left="864" w:hanging="576"/>
        <w:jc w:val="both"/>
        <w:rPr>
          <w:rFonts w:ascii="Arial" w:eastAsia="Times New Roman" w:hAnsi="Arial" w:cs="Arial"/>
          <w:sz w:val="18"/>
          <w:szCs w:val="20"/>
          <w:lang w:val="es-ES" w:eastAsia="es-ES"/>
        </w:rPr>
      </w:pPr>
      <w:r w:rsidRPr="00501BA3">
        <w:rPr>
          <w:rFonts w:ascii="Arial" w:eastAsia="Times New Roman" w:hAnsi="Arial" w:cs="Arial"/>
          <w:b/>
          <w:sz w:val="18"/>
          <w:szCs w:val="20"/>
          <w:lang w:val="es-ES" w:eastAsia="es-ES"/>
        </w:rPr>
        <w:t>III.</w:t>
      </w:r>
      <w:r w:rsidRPr="00501BA3">
        <w:rPr>
          <w:rFonts w:ascii="Arial" w:eastAsia="Times New Roman" w:hAnsi="Arial" w:cs="Arial"/>
          <w:b/>
          <w:sz w:val="18"/>
          <w:szCs w:val="20"/>
          <w:lang w:val="es-ES" w:eastAsia="es-ES"/>
        </w:rPr>
        <w:tab/>
      </w:r>
      <w:r w:rsidRPr="00501BA3">
        <w:rPr>
          <w:rFonts w:ascii="Arial" w:eastAsia="Times New Roman" w:hAnsi="Arial" w:cs="Arial"/>
          <w:sz w:val="18"/>
          <w:szCs w:val="20"/>
          <w:lang w:val="es-ES" w:eastAsia="es-ES"/>
        </w:rPr>
        <w:t>El resultado de la investigación de mercado que soporte el procedimiento de contratación propuesto;</w:t>
      </w:r>
    </w:p>
    <w:p w:rsidR="00501BA3" w:rsidRPr="00501BA3" w:rsidRDefault="00501BA3" w:rsidP="00501BA3">
      <w:pPr>
        <w:spacing w:after="20" w:line="206" w:lineRule="exact"/>
        <w:ind w:left="864" w:hanging="576"/>
        <w:jc w:val="both"/>
        <w:rPr>
          <w:rFonts w:ascii="Arial" w:eastAsia="Times New Roman" w:hAnsi="Arial" w:cs="Arial"/>
          <w:sz w:val="18"/>
          <w:szCs w:val="20"/>
          <w:lang w:val="es-ES" w:eastAsia="es-ES"/>
        </w:rPr>
      </w:pPr>
      <w:r w:rsidRPr="00501BA3">
        <w:rPr>
          <w:rFonts w:ascii="Arial" w:eastAsia="Times New Roman" w:hAnsi="Arial" w:cs="Arial"/>
          <w:b/>
          <w:sz w:val="18"/>
          <w:szCs w:val="20"/>
          <w:lang w:val="es-ES" w:eastAsia="es-ES"/>
        </w:rPr>
        <w:t>IV.</w:t>
      </w:r>
      <w:r w:rsidRPr="00501BA3">
        <w:rPr>
          <w:rFonts w:ascii="Arial" w:eastAsia="Times New Roman" w:hAnsi="Arial" w:cs="Arial"/>
          <w:b/>
          <w:sz w:val="18"/>
          <w:szCs w:val="20"/>
          <w:lang w:val="es-ES" w:eastAsia="es-ES"/>
        </w:rPr>
        <w:tab/>
      </w:r>
      <w:r w:rsidRPr="00501BA3">
        <w:rPr>
          <w:rFonts w:ascii="Arial" w:eastAsia="Times New Roman" w:hAnsi="Arial" w:cs="Arial"/>
          <w:sz w:val="18"/>
          <w:szCs w:val="20"/>
          <w:lang w:val="es-ES" w:eastAsia="es-ES"/>
        </w:rPr>
        <w:t>El procedimiento de contratación propuesto, fundando el supuesto de excepción que resulte procedente para llevar a cabo la invitación a cuando menos tres personas o la adjudicación directa y motivando la propuesta mediante la descripción clara de las razones en que se sustente la misma;</w:t>
      </w:r>
    </w:p>
    <w:p w:rsidR="00501BA3" w:rsidRPr="00501BA3" w:rsidRDefault="00501BA3" w:rsidP="00501BA3">
      <w:pPr>
        <w:spacing w:after="20" w:line="206" w:lineRule="exact"/>
        <w:ind w:left="864" w:hanging="576"/>
        <w:jc w:val="both"/>
        <w:rPr>
          <w:rFonts w:ascii="Arial" w:eastAsia="Times New Roman" w:hAnsi="Arial" w:cs="Arial"/>
          <w:sz w:val="18"/>
          <w:szCs w:val="20"/>
          <w:lang w:val="es-ES" w:eastAsia="es-ES"/>
        </w:rPr>
      </w:pPr>
      <w:r w:rsidRPr="00501BA3">
        <w:rPr>
          <w:rFonts w:ascii="Arial" w:eastAsia="Times New Roman" w:hAnsi="Arial" w:cs="Arial"/>
          <w:b/>
          <w:sz w:val="18"/>
          <w:szCs w:val="20"/>
          <w:lang w:val="es-ES" w:eastAsia="es-ES"/>
        </w:rPr>
        <w:t>V.</w:t>
      </w:r>
      <w:r w:rsidRPr="00501BA3">
        <w:rPr>
          <w:rFonts w:ascii="Arial" w:eastAsia="Times New Roman" w:hAnsi="Arial" w:cs="Arial"/>
          <w:b/>
          <w:sz w:val="18"/>
          <w:szCs w:val="20"/>
          <w:lang w:val="es-ES" w:eastAsia="es-ES"/>
        </w:rPr>
        <w:tab/>
      </w:r>
      <w:r w:rsidRPr="00501BA3">
        <w:rPr>
          <w:rFonts w:ascii="Arial" w:eastAsia="Times New Roman" w:hAnsi="Arial" w:cs="Arial"/>
          <w:sz w:val="18"/>
          <w:szCs w:val="20"/>
          <w:lang w:val="es-ES" w:eastAsia="es-ES"/>
        </w:rPr>
        <w:t>El monto estimado de la contratación y la forma de pago propuesta;</w:t>
      </w:r>
    </w:p>
    <w:p w:rsidR="00501BA3" w:rsidRPr="00501BA3" w:rsidRDefault="00501BA3" w:rsidP="00501BA3">
      <w:pPr>
        <w:spacing w:after="20" w:line="206" w:lineRule="exact"/>
        <w:ind w:left="864" w:hanging="576"/>
        <w:jc w:val="both"/>
        <w:rPr>
          <w:rFonts w:ascii="Arial" w:eastAsia="Times New Roman" w:hAnsi="Arial" w:cs="Arial"/>
          <w:sz w:val="18"/>
          <w:szCs w:val="20"/>
          <w:lang w:val="es-ES" w:eastAsia="es-ES"/>
        </w:rPr>
      </w:pPr>
      <w:r w:rsidRPr="00501BA3">
        <w:rPr>
          <w:rFonts w:ascii="Arial" w:eastAsia="Times New Roman" w:hAnsi="Arial" w:cs="Arial"/>
          <w:b/>
          <w:sz w:val="18"/>
          <w:szCs w:val="20"/>
          <w:lang w:val="es-ES" w:eastAsia="es-ES"/>
        </w:rPr>
        <w:t>VI.</w:t>
      </w:r>
      <w:r w:rsidRPr="00501BA3">
        <w:rPr>
          <w:rFonts w:ascii="Arial" w:eastAsia="Times New Roman" w:hAnsi="Arial" w:cs="Arial"/>
          <w:b/>
          <w:sz w:val="18"/>
          <w:szCs w:val="20"/>
          <w:lang w:val="es-ES" w:eastAsia="es-ES"/>
        </w:rPr>
        <w:tab/>
      </w:r>
      <w:r w:rsidRPr="00501BA3">
        <w:rPr>
          <w:rFonts w:ascii="Arial" w:eastAsia="Times New Roman" w:hAnsi="Arial" w:cs="Arial"/>
          <w:sz w:val="18"/>
          <w:szCs w:val="20"/>
          <w:lang w:val="es-ES" w:eastAsia="es-ES"/>
        </w:rPr>
        <w:t>En caso de que se cuente con la información, los nombres de las personas propuestas para la invitación a cuando menos tres personas o la adjudicación directa, detallando sus datos generales, capacidad técnica y experiencia. Tratándose de adjudicaciones directas que se sustenten en los supuestos a que se refieren las fracciones I, VI, X, XI, segundo párrafo, XII, XIII y XIV del artículo 42 de la Ley, se deberá asentar invariablemente la información señalada en esta fracción;</w:t>
      </w:r>
    </w:p>
    <w:p w:rsidR="00501BA3" w:rsidRPr="00501BA3" w:rsidRDefault="00501BA3" w:rsidP="00501BA3">
      <w:pPr>
        <w:spacing w:after="20" w:line="206" w:lineRule="exact"/>
        <w:ind w:left="864" w:hanging="576"/>
        <w:jc w:val="both"/>
        <w:rPr>
          <w:rFonts w:ascii="Arial" w:eastAsia="Times New Roman" w:hAnsi="Arial" w:cs="Arial"/>
          <w:sz w:val="18"/>
          <w:szCs w:val="20"/>
          <w:lang w:val="es-ES" w:eastAsia="es-ES"/>
        </w:rPr>
      </w:pPr>
      <w:r w:rsidRPr="00501BA3">
        <w:rPr>
          <w:rFonts w:ascii="Arial" w:eastAsia="Times New Roman" w:hAnsi="Arial" w:cs="Arial"/>
          <w:b/>
          <w:sz w:val="18"/>
          <w:szCs w:val="20"/>
          <w:lang w:val="es-ES" w:eastAsia="es-ES"/>
        </w:rPr>
        <w:t>VII.</w:t>
      </w:r>
      <w:r w:rsidRPr="00501BA3">
        <w:rPr>
          <w:rFonts w:ascii="Arial" w:eastAsia="Times New Roman" w:hAnsi="Arial" w:cs="Arial"/>
          <w:b/>
          <w:sz w:val="18"/>
          <w:szCs w:val="20"/>
          <w:lang w:val="es-ES" w:eastAsia="es-ES"/>
        </w:rPr>
        <w:tab/>
      </w:r>
      <w:r w:rsidRPr="00501BA3">
        <w:rPr>
          <w:rFonts w:ascii="Arial" w:eastAsia="Times New Roman" w:hAnsi="Arial" w:cs="Arial"/>
          <w:sz w:val="18"/>
          <w:szCs w:val="20"/>
          <w:lang w:val="es-ES" w:eastAsia="es-ES"/>
        </w:rPr>
        <w:t>La acreditación del o los criterios a que se refiere el segundo párrafo del artículo 41 de la Ley, en que se funde y motive la selección del procedimiento de excepción, según las circunstancias que concurran en cada caso, y</w:t>
      </w:r>
    </w:p>
    <w:p w:rsidR="00501BA3" w:rsidRPr="00501BA3" w:rsidRDefault="00501BA3" w:rsidP="00501BA3">
      <w:pPr>
        <w:spacing w:after="20" w:line="206" w:lineRule="exact"/>
        <w:ind w:left="864" w:hanging="576"/>
        <w:jc w:val="both"/>
        <w:rPr>
          <w:rFonts w:ascii="Arial" w:eastAsia="Times New Roman" w:hAnsi="Arial" w:cs="Arial"/>
          <w:sz w:val="18"/>
          <w:szCs w:val="20"/>
          <w:lang w:val="es-ES" w:eastAsia="es-ES"/>
        </w:rPr>
      </w:pPr>
      <w:r w:rsidRPr="00501BA3">
        <w:rPr>
          <w:rFonts w:ascii="Arial" w:eastAsia="Times New Roman" w:hAnsi="Arial" w:cs="Arial"/>
          <w:b/>
          <w:sz w:val="18"/>
          <w:szCs w:val="20"/>
          <w:lang w:val="es-ES" w:eastAsia="es-ES"/>
        </w:rPr>
        <w:t>VIII.</w:t>
      </w:r>
      <w:r w:rsidRPr="00501BA3">
        <w:rPr>
          <w:rFonts w:ascii="Arial" w:eastAsia="Times New Roman" w:hAnsi="Arial" w:cs="Arial"/>
          <w:b/>
          <w:sz w:val="18"/>
          <w:szCs w:val="20"/>
          <w:lang w:val="es-ES" w:eastAsia="es-ES"/>
        </w:rPr>
        <w:tab/>
      </w:r>
      <w:r w:rsidRPr="00501BA3">
        <w:rPr>
          <w:rFonts w:ascii="Arial" w:eastAsia="Times New Roman" w:hAnsi="Arial" w:cs="Arial"/>
          <w:sz w:val="18"/>
          <w:szCs w:val="20"/>
          <w:lang w:val="es-ES" w:eastAsia="es-ES"/>
        </w:rPr>
        <w:t>El lugar y fecha de emisión.</w:t>
      </w:r>
      <w:bookmarkStart w:id="0" w:name="_GoBack"/>
      <w:bookmarkEnd w:id="0"/>
    </w:p>
    <w:p w:rsidR="00501BA3" w:rsidRPr="00501BA3" w:rsidRDefault="00501BA3" w:rsidP="00501BA3">
      <w:pPr>
        <w:spacing w:after="20" w:line="206" w:lineRule="exact"/>
        <w:ind w:firstLine="288"/>
        <w:jc w:val="both"/>
        <w:rPr>
          <w:rFonts w:ascii="Arial" w:eastAsia="Times New Roman" w:hAnsi="Arial" w:cs="Arial"/>
          <w:sz w:val="18"/>
          <w:szCs w:val="20"/>
          <w:lang w:val="es-ES" w:eastAsia="es-ES"/>
        </w:rPr>
      </w:pPr>
      <w:r w:rsidRPr="00501BA3">
        <w:rPr>
          <w:rFonts w:ascii="Arial" w:eastAsia="Times New Roman" w:hAnsi="Arial" w:cs="Arial"/>
          <w:sz w:val="18"/>
          <w:szCs w:val="20"/>
          <w:lang w:val="es-ES" w:eastAsia="es-ES"/>
        </w:rPr>
        <w:t>Al documento a que se refiere este artículo se deberá acompañar la solicitud de contratación, acreditando la existencia de recursos para iniciar el procedimiento de contratación, de conformidad con lo dispuesto en el segundo párrafo del artículo 24 de la Ley y el artículo 18 del presente Reglamento.</w:t>
      </w:r>
    </w:p>
    <w:p w:rsidR="00501BA3" w:rsidRPr="00501BA3" w:rsidRDefault="00501BA3" w:rsidP="00501BA3">
      <w:pPr>
        <w:spacing w:after="20" w:line="207" w:lineRule="exact"/>
        <w:ind w:firstLine="288"/>
        <w:jc w:val="both"/>
        <w:rPr>
          <w:rFonts w:ascii="Arial" w:eastAsia="Times New Roman" w:hAnsi="Arial" w:cs="Arial"/>
          <w:b/>
          <w:i/>
          <w:sz w:val="18"/>
          <w:szCs w:val="20"/>
          <w:u w:val="single"/>
          <w:lang w:val="es-ES" w:eastAsia="es-ES"/>
        </w:rPr>
      </w:pPr>
      <w:r w:rsidRPr="00501BA3">
        <w:rPr>
          <w:rFonts w:ascii="Arial" w:eastAsia="Times New Roman" w:hAnsi="Arial" w:cs="Arial"/>
          <w:b/>
          <w:i/>
          <w:sz w:val="18"/>
          <w:szCs w:val="20"/>
          <w:u w:val="single"/>
          <w:lang w:val="es-ES" w:eastAsia="es-ES"/>
        </w:rPr>
        <w:t>El contenido del dictamen a que se refiere el penúltimo párrafo del artículo 41 de la Ley contendrá como mínimo lo dispuesto en el presente artículo, además de mencionar el análisis de la o las proposiciones y las razones para la adjudicación del contrato.</w:t>
      </w:r>
    </w:p>
    <w:p w:rsidR="00692AD0" w:rsidRDefault="00692AD0" w:rsidP="00692AD0">
      <w:pPr>
        <w:spacing w:after="64" w:line="240" w:lineRule="auto"/>
        <w:ind w:firstLine="288"/>
        <w:jc w:val="both"/>
        <w:rPr>
          <w:rFonts w:ascii="Arial" w:eastAsia="Times New Roman" w:hAnsi="Arial" w:cs="Arial"/>
          <w:b/>
          <w:sz w:val="18"/>
          <w:szCs w:val="24"/>
          <w:lang w:val="es-ES" w:eastAsia="es-ES"/>
        </w:rPr>
      </w:pPr>
    </w:p>
    <w:p w:rsidR="00692AD0" w:rsidRDefault="00692AD0" w:rsidP="00692AD0">
      <w:pPr>
        <w:spacing w:after="64" w:line="240" w:lineRule="auto"/>
        <w:ind w:firstLine="288"/>
        <w:jc w:val="both"/>
        <w:rPr>
          <w:rFonts w:ascii="Arial" w:eastAsia="Times New Roman" w:hAnsi="Arial" w:cs="Arial"/>
          <w:b/>
          <w:sz w:val="18"/>
          <w:szCs w:val="24"/>
          <w:lang w:val="es-ES" w:eastAsia="es-ES"/>
        </w:rPr>
      </w:pPr>
    </w:p>
    <w:p w:rsidR="00692AD0" w:rsidRPr="00692AD0" w:rsidRDefault="00692AD0" w:rsidP="00692AD0">
      <w:pPr>
        <w:spacing w:after="64" w:line="240" w:lineRule="auto"/>
        <w:ind w:firstLine="288"/>
        <w:jc w:val="both"/>
        <w:rPr>
          <w:rFonts w:ascii="Arial" w:eastAsia="Times New Roman" w:hAnsi="Arial" w:cs="Arial"/>
          <w:sz w:val="18"/>
          <w:szCs w:val="24"/>
          <w:lang w:val="es-ES" w:eastAsia="es-ES"/>
        </w:rPr>
      </w:pPr>
      <w:r w:rsidRPr="00692AD0">
        <w:rPr>
          <w:rFonts w:ascii="Arial" w:eastAsia="Times New Roman" w:hAnsi="Arial" w:cs="Arial"/>
          <w:b/>
          <w:sz w:val="18"/>
          <w:szCs w:val="24"/>
          <w:lang w:val="es-ES" w:eastAsia="es-ES"/>
        </w:rPr>
        <w:t>Artículo 27.-</w:t>
      </w:r>
      <w:r w:rsidRPr="00692AD0">
        <w:rPr>
          <w:rFonts w:ascii="Arial" w:eastAsia="Times New Roman" w:hAnsi="Arial" w:cs="Arial"/>
          <w:sz w:val="18"/>
          <w:szCs w:val="24"/>
          <w:lang w:val="es-ES" w:eastAsia="es-ES"/>
        </w:rPr>
        <w:t xml:space="preserve"> Para el ejercicio de sus funciones el Comité deberá:</w:t>
      </w:r>
    </w:p>
    <w:p w:rsidR="00692AD0" w:rsidRPr="00692AD0" w:rsidRDefault="00692AD0" w:rsidP="00692AD0">
      <w:pPr>
        <w:spacing w:after="64" w:line="240" w:lineRule="auto"/>
        <w:ind w:left="864" w:hanging="576"/>
        <w:jc w:val="both"/>
        <w:rPr>
          <w:rFonts w:ascii="Arial" w:eastAsia="Times New Roman" w:hAnsi="Arial" w:cs="Arial"/>
          <w:sz w:val="18"/>
          <w:szCs w:val="20"/>
          <w:lang w:val="es-ES" w:eastAsia="es-ES"/>
        </w:rPr>
      </w:pPr>
      <w:r w:rsidRPr="00692AD0">
        <w:rPr>
          <w:rFonts w:ascii="Arial" w:eastAsia="Times New Roman" w:hAnsi="Arial" w:cs="Arial"/>
          <w:b/>
          <w:sz w:val="18"/>
          <w:szCs w:val="20"/>
          <w:lang w:val="es-ES" w:eastAsia="es-ES"/>
        </w:rPr>
        <w:t>I.</w:t>
      </w:r>
      <w:r w:rsidRPr="00692AD0">
        <w:rPr>
          <w:rFonts w:ascii="Arial" w:eastAsia="Times New Roman" w:hAnsi="Arial" w:cs="Arial"/>
          <w:b/>
          <w:sz w:val="18"/>
          <w:szCs w:val="20"/>
          <w:lang w:val="es-ES" w:eastAsia="es-ES"/>
        </w:rPr>
        <w:tab/>
      </w:r>
      <w:r w:rsidRPr="00692AD0">
        <w:rPr>
          <w:rFonts w:ascii="Arial" w:eastAsia="Times New Roman" w:hAnsi="Arial" w:cs="Arial"/>
          <w:sz w:val="18"/>
          <w:szCs w:val="20"/>
          <w:lang w:val="es-ES" w:eastAsia="es-ES"/>
        </w:rPr>
        <w:t>Aprobar los manuales de integración y funcionamiento de los subcomités que constituya para coadyuvar al cumplimiento de la Ley, de este Reglamento y demás disposiciones aplicables, determinando la materia competencia de cada uno, las áreas y los niveles jerárquicos de los servidores públicos que los integren, así como la forma y términos en que deberán informar al propio Comité de los asuntos que conozcan;</w:t>
      </w:r>
    </w:p>
    <w:p w:rsidR="00692AD0" w:rsidRPr="00692AD0" w:rsidRDefault="00692AD0" w:rsidP="00692AD0">
      <w:pPr>
        <w:spacing w:after="64" w:line="240" w:lineRule="auto"/>
        <w:ind w:left="864" w:hanging="576"/>
        <w:jc w:val="both"/>
        <w:rPr>
          <w:rFonts w:ascii="Arial" w:eastAsia="Times New Roman" w:hAnsi="Arial" w:cs="Arial"/>
          <w:sz w:val="18"/>
          <w:szCs w:val="20"/>
          <w:lang w:val="es-ES" w:eastAsia="es-ES"/>
        </w:rPr>
      </w:pPr>
      <w:r w:rsidRPr="00692AD0">
        <w:rPr>
          <w:rFonts w:ascii="Arial" w:eastAsia="Times New Roman" w:hAnsi="Arial" w:cs="Arial"/>
          <w:b/>
          <w:sz w:val="18"/>
          <w:szCs w:val="20"/>
          <w:lang w:val="es-ES" w:eastAsia="es-ES"/>
        </w:rPr>
        <w:t>II.</w:t>
      </w:r>
      <w:r w:rsidRPr="00692AD0">
        <w:rPr>
          <w:rFonts w:ascii="Arial" w:eastAsia="Times New Roman" w:hAnsi="Arial" w:cs="Arial"/>
          <w:b/>
          <w:sz w:val="18"/>
          <w:szCs w:val="20"/>
          <w:lang w:val="es-ES" w:eastAsia="es-ES"/>
        </w:rPr>
        <w:tab/>
      </w:r>
      <w:r w:rsidRPr="00692AD0">
        <w:rPr>
          <w:rFonts w:ascii="Arial" w:eastAsia="Times New Roman" w:hAnsi="Arial" w:cs="Arial"/>
          <w:sz w:val="18"/>
          <w:szCs w:val="20"/>
          <w:lang w:val="es-ES" w:eastAsia="es-ES"/>
        </w:rPr>
        <w:t>Establecer su calendario de sesiones ordinarias del ejercicio inmediato posterior, que podrán ser quincenales, mensuales o bimestrales;</w:t>
      </w:r>
    </w:p>
    <w:p w:rsidR="00692AD0" w:rsidRPr="00692AD0" w:rsidRDefault="00692AD0" w:rsidP="00692AD0">
      <w:pPr>
        <w:spacing w:after="64" w:line="240" w:lineRule="auto"/>
        <w:ind w:left="864" w:hanging="576"/>
        <w:jc w:val="both"/>
        <w:rPr>
          <w:rFonts w:ascii="Arial" w:eastAsia="Times New Roman" w:hAnsi="Arial" w:cs="Arial"/>
          <w:sz w:val="18"/>
          <w:szCs w:val="20"/>
          <w:lang w:val="es-ES" w:eastAsia="es-ES"/>
        </w:rPr>
      </w:pPr>
      <w:r w:rsidRPr="00692AD0">
        <w:rPr>
          <w:rFonts w:ascii="Arial" w:eastAsia="Times New Roman" w:hAnsi="Arial" w:cs="Arial"/>
          <w:b/>
          <w:sz w:val="18"/>
          <w:szCs w:val="20"/>
          <w:lang w:val="es-ES" w:eastAsia="es-ES"/>
        </w:rPr>
        <w:t>III.</w:t>
      </w:r>
      <w:r w:rsidRPr="00692AD0">
        <w:rPr>
          <w:rFonts w:ascii="Arial" w:eastAsia="Times New Roman" w:hAnsi="Arial" w:cs="Arial"/>
          <w:b/>
          <w:sz w:val="18"/>
          <w:szCs w:val="20"/>
          <w:lang w:val="es-ES" w:eastAsia="es-ES"/>
        </w:rPr>
        <w:tab/>
      </w:r>
      <w:r w:rsidRPr="00692AD0">
        <w:rPr>
          <w:rFonts w:ascii="Arial" w:eastAsia="Times New Roman" w:hAnsi="Arial" w:cs="Arial"/>
          <w:sz w:val="18"/>
          <w:szCs w:val="20"/>
          <w:lang w:val="es-ES" w:eastAsia="es-ES"/>
        </w:rPr>
        <w:t>Determinar la ubicación de la dependencia o entidad en los rangos de los montos máximos de contratación de conformidad con el artículo 43 de la Ley, a partir del presupuesto autorizado a la dependencia o entidad para obras y servicios;</w:t>
      </w:r>
    </w:p>
    <w:p w:rsidR="00692AD0" w:rsidRPr="00692AD0" w:rsidRDefault="00692AD0" w:rsidP="00692AD0">
      <w:pPr>
        <w:spacing w:after="64" w:line="240" w:lineRule="auto"/>
        <w:ind w:left="864" w:hanging="576"/>
        <w:jc w:val="both"/>
        <w:rPr>
          <w:rFonts w:ascii="Arial" w:eastAsia="Times New Roman" w:hAnsi="Arial" w:cs="Arial"/>
          <w:sz w:val="18"/>
          <w:szCs w:val="20"/>
          <w:lang w:val="es-ES" w:eastAsia="es-ES"/>
        </w:rPr>
      </w:pPr>
      <w:r w:rsidRPr="00692AD0">
        <w:rPr>
          <w:rFonts w:ascii="Arial" w:eastAsia="Times New Roman" w:hAnsi="Arial" w:cs="Arial"/>
          <w:b/>
          <w:sz w:val="18"/>
          <w:szCs w:val="20"/>
          <w:lang w:val="es-ES" w:eastAsia="es-ES"/>
        </w:rPr>
        <w:t>IV.</w:t>
      </w:r>
      <w:r w:rsidRPr="00692AD0">
        <w:rPr>
          <w:rFonts w:ascii="Arial" w:eastAsia="Times New Roman" w:hAnsi="Arial" w:cs="Arial"/>
          <w:b/>
          <w:sz w:val="18"/>
          <w:szCs w:val="20"/>
          <w:lang w:val="es-ES" w:eastAsia="es-ES"/>
        </w:rPr>
        <w:tab/>
      </w:r>
      <w:r w:rsidRPr="00692AD0">
        <w:rPr>
          <w:rFonts w:ascii="Arial" w:eastAsia="Times New Roman" w:hAnsi="Arial" w:cs="Arial"/>
          <w:sz w:val="18"/>
          <w:szCs w:val="20"/>
          <w:lang w:val="es-ES" w:eastAsia="es-ES"/>
        </w:rPr>
        <w:t xml:space="preserve">Revisar el programa anual de obras y servicios antes de su publicación en </w:t>
      </w:r>
      <w:proofErr w:type="spellStart"/>
      <w:r w:rsidRPr="00692AD0">
        <w:rPr>
          <w:rFonts w:ascii="Arial" w:eastAsia="Times New Roman" w:hAnsi="Arial" w:cs="Arial"/>
          <w:sz w:val="18"/>
          <w:szCs w:val="20"/>
          <w:lang w:val="es-ES" w:eastAsia="es-ES"/>
        </w:rPr>
        <w:t>CompraNet</w:t>
      </w:r>
      <w:proofErr w:type="spellEnd"/>
      <w:r w:rsidRPr="00692AD0">
        <w:rPr>
          <w:rFonts w:ascii="Arial" w:eastAsia="Times New Roman" w:hAnsi="Arial" w:cs="Arial"/>
          <w:sz w:val="18"/>
          <w:szCs w:val="20"/>
          <w:lang w:val="es-ES" w:eastAsia="es-ES"/>
        </w:rPr>
        <w:t xml:space="preserve"> y en la página de Internet de la dependencia o entidad, de acuerdo con el presupuesto aprobado para el ejercicio correspondiente, y</w:t>
      </w:r>
    </w:p>
    <w:p w:rsidR="00692AD0" w:rsidRPr="00692AD0" w:rsidRDefault="00692AD0" w:rsidP="00692AD0">
      <w:pPr>
        <w:spacing w:after="64" w:line="240" w:lineRule="auto"/>
        <w:ind w:left="864" w:hanging="576"/>
        <w:jc w:val="both"/>
        <w:rPr>
          <w:rFonts w:ascii="Arial" w:eastAsia="Times New Roman" w:hAnsi="Arial" w:cs="Arial"/>
          <w:sz w:val="18"/>
          <w:szCs w:val="20"/>
          <w:lang w:val="es-ES" w:eastAsia="es-ES"/>
        </w:rPr>
      </w:pPr>
      <w:r w:rsidRPr="00692AD0">
        <w:rPr>
          <w:rFonts w:ascii="Arial" w:eastAsia="Times New Roman" w:hAnsi="Arial" w:cs="Arial"/>
          <w:b/>
          <w:sz w:val="18"/>
          <w:szCs w:val="20"/>
          <w:lang w:val="es-ES" w:eastAsia="es-ES"/>
        </w:rPr>
        <w:t>V.</w:t>
      </w:r>
      <w:r w:rsidRPr="00692AD0">
        <w:rPr>
          <w:rFonts w:ascii="Arial" w:eastAsia="Times New Roman" w:hAnsi="Arial" w:cs="Arial"/>
          <w:b/>
          <w:sz w:val="18"/>
          <w:szCs w:val="20"/>
          <w:lang w:val="es-ES" w:eastAsia="es-ES"/>
        </w:rPr>
        <w:tab/>
      </w:r>
      <w:r w:rsidRPr="00692AD0">
        <w:rPr>
          <w:rFonts w:ascii="Arial" w:eastAsia="Times New Roman" w:hAnsi="Arial" w:cs="Arial"/>
          <w:sz w:val="18"/>
          <w:szCs w:val="20"/>
          <w:lang w:val="es-ES" w:eastAsia="es-ES"/>
        </w:rPr>
        <w:t xml:space="preserve">Recibir por conducto del secretario técnico, las propuestas de modificación a las políticas, bases y lineamientos </w:t>
      </w:r>
      <w:proofErr w:type="gramStart"/>
      <w:r w:rsidRPr="00692AD0">
        <w:rPr>
          <w:rFonts w:ascii="Arial" w:eastAsia="Times New Roman" w:hAnsi="Arial" w:cs="Arial"/>
          <w:sz w:val="18"/>
          <w:szCs w:val="20"/>
          <w:lang w:val="es-ES" w:eastAsia="es-ES"/>
        </w:rPr>
        <w:t>formuladas</w:t>
      </w:r>
      <w:proofErr w:type="gramEnd"/>
      <w:r w:rsidRPr="00692AD0">
        <w:rPr>
          <w:rFonts w:ascii="Arial" w:eastAsia="Times New Roman" w:hAnsi="Arial" w:cs="Arial"/>
          <w:sz w:val="18"/>
          <w:szCs w:val="20"/>
          <w:lang w:val="es-ES" w:eastAsia="es-ES"/>
        </w:rPr>
        <w:t xml:space="preserve"> por las Áreas requirentes y por las responsables de la contratación, así como dictaminar sobre su procedencia y, en su caso, someterlas a la autorización del titular de la dependencia u órgano de gobierno correspondiente.</w:t>
      </w:r>
    </w:p>
    <w:p w:rsidR="00692AD0" w:rsidRPr="00744975" w:rsidRDefault="00692AD0" w:rsidP="00692AD0">
      <w:pPr>
        <w:spacing w:after="64" w:line="240" w:lineRule="auto"/>
        <w:ind w:firstLine="288"/>
        <w:jc w:val="both"/>
        <w:rPr>
          <w:rFonts w:ascii="Arial" w:eastAsia="Times New Roman" w:hAnsi="Arial" w:cs="Arial"/>
          <w:sz w:val="18"/>
          <w:szCs w:val="20"/>
          <w:lang w:val="es-ES" w:eastAsia="es-ES"/>
        </w:rPr>
      </w:pPr>
      <w:r w:rsidRPr="00744975">
        <w:rPr>
          <w:rFonts w:ascii="Arial" w:eastAsia="Times New Roman" w:hAnsi="Arial" w:cs="Arial"/>
          <w:sz w:val="18"/>
          <w:szCs w:val="20"/>
          <w:lang w:val="es-ES" w:eastAsia="es-ES"/>
        </w:rPr>
        <w:t>El Comité no dictaminará los siguientes asuntos:</w:t>
      </w:r>
    </w:p>
    <w:p w:rsidR="00692AD0" w:rsidRPr="00692AD0" w:rsidRDefault="00692AD0" w:rsidP="00692AD0">
      <w:pPr>
        <w:spacing w:after="64" w:line="240" w:lineRule="auto"/>
        <w:ind w:left="864" w:hanging="576"/>
        <w:jc w:val="both"/>
        <w:rPr>
          <w:rFonts w:ascii="Arial" w:eastAsia="Times New Roman" w:hAnsi="Arial" w:cs="Arial"/>
          <w:sz w:val="18"/>
          <w:szCs w:val="20"/>
          <w:lang w:val="es-ES" w:eastAsia="es-ES"/>
        </w:rPr>
      </w:pPr>
      <w:r w:rsidRPr="00692AD0">
        <w:rPr>
          <w:rFonts w:ascii="Arial" w:eastAsia="Times New Roman" w:hAnsi="Arial" w:cs="Arial"/>
          <w:b/>
          <w:sz w:val="18"/>
          <w:szCs w:val="20"/>
          <w:lang w:val="es-ES" w:eastAsia="es-ES"/>
        </w:rPr>
        <w:t>I.</w:t>
      </w:r>
      <w:r w:rsidRPr="00692AD0">
        <w:rPr>
          <w:rFonts w:ascii="Arial" w:eastAsia="Times New Roman" w:hAnsi="Arial" w:cs="Arial"/>
          <w:b/>
          <w:sz w:val="18"/>
          <w:szCs w:val="20"/>
          <w:lang w:val="es-ES" w:eastAsia="es-ES"/>
        </w:rPr>
        <w:tab/>
      </w:r>
      <w:r w:rsidRPr="00692AD0">
        <w:rPr>
          <w:rFonts w:ascii="Arial" w:eastAsia="Times New Roman" w:hAnsi="Arial" w:cs="Arial"/>
          <w:sz w:val="18"/>
          <w:szCs w:val="20"/>
          <w:lang w:val="es-ES" w:eastAsia="es-ES"/>
        </w:rPr>
        <w:t>La procedencia de la contratación en los casos de excepción a que se refiere el último párrafo del artículo 42 de la Ley;</w:t>
      </w:r>
    </w:p>
    <w:p w:rsidR="00692AD0" w:rsidRPr="00692AD0" w:rsidRDefault="00692AD0" w:rsidP="00692AD0">
      <w:pPr>
        <w:spacing w:after="64" w:line="240" w:lineRule="auto"/>
        <w:ind w:left="864" w:hanging="576"/>
        <w:jc w:val="both"/>
        <w:rPr>
          <w:rFonts w:ascii="Arial" w:eastAsia="Times New Roman" w:hAnsi="Arial" w:cs="Arial"/>
          <w:sz w:val="18"/>
          <w:szCs w:val="20"/>
          <w:lang w:val="es-ES" w:eastAsia="es-ES"/>
        </w:rPr>
      </w:pPr>
      <w:r w:rsidRPr="00692AD0">
        <w:rPr>
          <w:rFonts w:ascii="Arial" w:eastAsia="Times New Roman" w:hAnsi="Arial" w:cs="Arial"/>
          <w:b/>
          <w:sz w:val="18"/>
          <w:szCs w:val="20"/>
          <w:lang w:val="es-ES" w:eastAsia="es-ES"/>
        </w:rPr>
        <w:t>II.</w:t>
      </w:r>
      <w:r w:rsidRPr="00692AD0">
        <w:rPr>
          <w:rFonts w:ascii="Arial" w:eastAsia="Times New Roman" w:hAnsi="Arial" w:cs="Arial"/>
          <w:b/>
          <w:sz w:val="18"/>
          <w:szCs w:val="20"/>
          <w:lang w:val="es-ES" w:eastAsia="es-ES"/>
        </w:rPr>
        <w:tab/>
      </w:r>
      <w:r w:rsidRPr="00692AD0">
        <w:rPr>
          <w:rFonts w:ascii="Arial" w:eastAsia="Times New Roman" w:hAnsi="Arial" w:cs="Arial"/>
          <w:sz w:val="18"/>
          <w:szCs w:val="20"/>
          <w:lang w:val="es-ES" w:eastAsia="es-ES"/>
        </w:rPr>
        <w:t>Los procedimientos de contratación por monto que se fundamenten en el artículo 43 de la Ley, y</w:t>
      </w:r>
    </w:p>
    <w:p w:rsidR="00692AD0" w:rsidRPr="00692AD0" w:rsidRDefault="00692AD0" w:rsidP="00692AD0">
      <w:pPr>
        <w:spacing w:after="64" w:line="240" w:lineRule="auto"/>
        <w:ind w:left="864" w:hanging="576"/>
        <w:jc w:val="both"/>
        <w:rPr>
          <w:rFonts w:ascii="Arial" w:eastAsia="Times New Roman" w:hAnsi="Arial" w:cs="Arial"/>
          <w:sz w:val="18"/>
          <w:szCs w:val="20"/>
          <w:lang w:val="es-ES" w:eastAsia="es-ES"/>
        </w:rPr>
      </w:pPr>
      <w:r w:rsidRPr="00692AD0">
        <w:rPr>
          <w:rFonts w:ascii="Arial" w:eastAsia="Times New Roman" w:hAnsi="Arial" w:cs="Arial"/>
          <w:b/>
          <w:sz w:val="18"/>
          <w:szCs w:val="20"/>
          <w:lang w:val="es-ES" w:eastAsia="es-ES"/>
        </w:rPr>
        <w:lastRenderedPageBreak/>
        <w:t>III.</w:t>
      </w:r>
      <w:r w:rsidRPr="00692AD0">
        <w:rPr>
          <w:rFonts w:ascii="Arial" w:eastAsia="Times New Roman" w:hAnsi="Arial" w:cs="Arial"/>
          <w:b/>
          <w:sz w:val="18"/>
          <w:szCs w:val="20"/>
          <w:lang w:val="es-ES" w:eastAsia="es-ES"/>
        </w:rPr>
        <w:tab/>
      </w:r>
      <w:r w:rsidRPr="00692AD0">
        <w:rPr>
          <w:rFonts w:ascii="Arial" w:eastAsia="Times New Roman" w:hAnsi="Arial" w:cs="Arial"/>
          <w:sz w:val="18"/>
          <w:szCs w:val="20"/>
          <w:lang w:val="es-ES" w:eastAsia="es-ES"/>
        </w:rPr>
        <w:t>Los asuntos cuyos procedimientos de contratación se hayan iniciado sin dictamen previo del Comité, incluso aquéllos en los que no se tenga obligación de contar con dicho dictamen.</w:t>
      </w:r>
    </w:p>
    <w:p w:rsidR="00B32B83" w:rsidRPr="00692AD0" w:rsidRDefault="00B32B83" w:rsidP="00B32B83">
      <w:pPr>
        <w:spacing w:after="58" w:line="240" w:lineRule="auto"/>
        <w:ind w:firstLine="288"/>
        <w:jc w:val="both"/>
        <w:rPr>
          <w:rFonts w:ascii="Arial" w:eastAsia="Times New Roman" w:hAnsi="Arial" w:cs="Arial"/>
          <w:b/>
          <w:sz w:val="18"/>
          <w:szCs w:val="20"/>
          <w:lang w:val="es-ES" w:eastAsia="es-ES"/>
        </w:rPr>
      </w:pPr>
    </w:p>
    <w:sectPr w:rsidR="00B32B83" w:rsidRPr="00692AD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111CA8"/>
    <w:rsid w:val="002815CE"/>
    <w:rsid w:val="003F2F75"/>
    <w:rsid w:val="00413DB3"/>
    <w:rsid w:val="00457BE9"/>
    <w:rsid w:val="00473543"/>
    <w:rsid w:val="00495979"/>
    <w:rsid w:val="00501BA3"/>
    <w:rsid w:val="00692AD0"/>
    <w:rsid w:val="006950E2"/>
    <w:rsid w:val="006F7B91"/>
    <w:rsid w:val="00744975"/>
    <w:rsid w:val="00800CAE"/>
    <w:rsid w:val="00923585"/>
    <w:rsid w:val="00B32B83"/>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3792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2013-04-19T19:08:00Z</dcterms:created>
  <dcterms:modified xsi:type="dcterms:W3CDTF">2013-04-19T19:08:00Z</dcterms:modified>
</cp:coreProperties>
</file>